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D60" w:rsidRDefault="00323D60" w:rsidP="00323D60">
      <w:pPr>
        <w:rPr>
          <w:u w:val="single"/>
        </w:rPr>
      </w:pPr>
      <w:r>
        <w:rPr>
          <w:b/>
          <w:u w:val="single"/>
        </w:rPr>
        <w:t>Registro das discussões do</w:t>
      </w:r>
      <w:proofErr w:type="gramStart"/>
      <w:r>
        <w:rPr>
          <w:b/>
          <w:u w:val="single"/>
        </w:rPr>
        <w:t xml:space="preserve">  </w:t>
      </w:r>
      <w:proofErr w:type="gramEnd"/>
      <w:r>
        <w:rPr>
          <w:b/>
          <w:u w:val="single"/>
        </w:rPr>
        <w:t>encontro do GESP de 10/06/2015</w:t>
      </w:r>
    </w:p>
    <w:p w:rsidR="00323D60" w:rsidRDefault="00015522" w:rsidP="00323D60">
      <w:pPr>
        <w:jc w:val="both"/>
      </w:pPr>
      <w:r>
        <w:t>Texto: “Introdução:</w:t>
      </w:r>
      <w:r w:rsidR="00323D60">
        <w:t xml:space="preserve"> 1. Modificações; 2. As formas de </w:t>
      </w:r>
      <w:proofErr w:type="spellStart"/>
      <w:r w:rsidR="00323D60">
        <w:t>problematização</w:t>
      </w:r>
      <w:proofErr w:type="spellEnd"/>
      <w:r w:rsidR="00323D60">
        <w:t xml:space="preserve">; 3. Moral e prática de si”. </w:t>
      </w:r>
      <w:r w:rsidR="00323D60">
        <w:rPr>
          <w:i/>
        </w:rPr>
        <w:t xml:space="preserve">História da Sexualidade </w:t>
      </w:r>
      <w:proofErr w:type="gramStart"/>
      <w:r w:rsidR="00323D60">
        <w:rPr>
          <w:i/>
        </w:rPr>
        <w:t>2</w:t>
      </w:r>
      <w:proofErr w:type="gramEnd"/>
      <w:r w:rsidR="00323D60">
        <w:t>: o uso dos prazeres. Michel Foucault.</w:t>
      </w:r>
    </w:p>
    <w:p w:rsidR="00323D60" w:rsidRDefault="00323D60" w:rsidP="00323D60">
      <w:pPr>
        <w:rPr>
          <w:b/>
          <w:u w:val="single"/>
        </w:rPr>
      </w:pPr>
      <w:r>
        <w:rPr>
          <w:b/>
          <w:u w:val="single"/>
        </w:rPr>
        <w:t>Apresentação</w:t>
      </w:r>
    </w:p>
    <w:p w:rsidR="00015522" w:rsidRDefault="00323D60" w:rsidP="00323D60">
      <w:pPr>
        <w:jc w:val="both"/>
      </w:pPr>
      <w:r>
        <w:t xml:space="preserve"> </w:t>
      </w:r>
      <w:r>
        <w:tab/>
        <w:t xml:space="preserve">No presente encontro do Grupo de Estudos em Segurança Pública (GESP) fora discutido o texto introdutório da obra “História da Sexualidade </w:t>
      </w:r>
      <w:proofErr w:type="gramStart"/>
      <w:r>
        <w:t>2</w:t>
      </w:r>
      <w:proofErr w:type="gramEnd"/>
      <w:r>
        <w:t>: o uso dos prazeres”</w:t>
      </w:r>
      <w:r w:rsidR="001C7ADF">
        <w:t>, publicada em 1984</w:t>
      </w:r>
      <w:r>
        <w:t>.</w:t>
      </w:r>
    </w:p>
    <w:p w:rsidR="004D3000" w:rsidRPr="004D3000" w:rsidRDefault="004D3000" w:rsidP="004D3000">
      <w:pPr>
        <w:jc w:val="both"/>
        <w:rPr>
          <w:b/>
          <w:u w:val="single"/>
        </w:rPr>
      </w:pPr>
      <w:r>
        <w:rPr>
          <w:b/>
          <w:u w:val="single"/>
        </w:rPr>
        <w:t>Sobre o deslocamento nas análises de Foucault: dos sistemas de poder-saber constitutivos de sujeitos para as práticas de subjetivação</w:t>
      </w:r>
    </w:p>
    <w:p w:rsidR="00323D60" w:rsidRDefault="00EF641C" w:rsidP="00772F98">
      <w:pPr>
        <w:ind w:firstLine="708"/>
        <w:jc w:val="both"/>
      </w:pPr>
      <w:r>
        <w:t xml:space="preserve"> Nesta obra</w:t>
      </w:r>
      <w:r w:rsidR="001C7ADF">
        <w:t xml:space="preserve"> </w:t>
      </w:r>
      <w:r w:rsidR="00AD419C">
        <w:t>revela-se o deslocamento</w:t>
      </w:r>
      <w:r w:rsidR="00015522">
        <w:t xml:space="preserve"> de objeto</w:t>
      </w:r>
      <w:r w:rsidR="001C7ADF">
        <w:t xml:space="preserve"> realizado</w:t>
      </w:r>
      <w:r w:rsidR="005765DC">
        <w:t xml:space="preserve"> na</w:t>
      </w:r>
      <w:r w:rsidR="005256C0">
        <w:t xml:space="preserve"> trajetória intelectual de</w:t>
      </w:r>
      <w:r w:rsidR="001C7ADF">
        <w:t xml:space="preserve"> Foucault ao longo dos anos de 1980. Se nos anos 1970, Foucault desenvolve uma analítica genealógica sobre o</w:t>
      </w:r>
      <w:r w:rsidR="003E3384">
        <w:t>s sistemas de poder-saber,</w:t>
      </w:r>
      <w:r w:rsidR="001C7ADF">
        <w:t xml:space="preserve"> </w:t>
      </w:r>
      <w:r w:rsidR="003E08A9">
        <w:t xml:space="preserve">sobre </w:t>
      </w:r>
      <w:r w:rsidR="001C7ADF">
        <w:t>os dispositivos que produzem sujeitos (produção da delin</w:t>
      </w:r>
      <w:r w:rsidR="00015522">
        <w:t>quência a partir de redes de poder-saber</w:t>
      </w:r>
      <w:r w:rsidR="00250896">
        <w:t xml:space="preserve"> carcerário</w:t>
      </w:r>
      <w:r w:rsidR="001C7ADF">
        <w:t>-disciplinares – “Vigiar e Punir”</w:t>
      </w:r>
      <w:r w:rsidR="005765DC">
        <w:t>;</w:t>
      </w:r>
      <w:r w:rsidR="005256C0">
        <w:t xml:space="preserve"> constitui</w:t>
      </w:r>
      <w:r w:rsidR="00772F98">
        <w:t>ção de sexualidades</w:t>
      </w:r>
      <w:r w:rsidR="00015522">
        <w:t>, no século XIX,</w:t>
      </w:r>
      <w:r w:rsidR="005256C0">
        <w:t xml:space="preserve"> por discursos</w:t>
      </w:r>
      <w:r w:rsidR="003E08A9">
        <w:t xml:space="preserve"> e práticas</w:t>
      </w:r>
      <w:r w:rsidR="005256C0">
        <w:t xml:space="preserve"> científicos e mor</w:t>
      </w:r>
      <w:r w:rsidR="00015522">
        <w:t xml:space="preserve">ais sobre o sexo </w:t>
      </w:r>
      <w:r w:rsidR="005256C0">
        <w:t>– “História da Sexualidade I”)</w:t>
      </w:r>
      <w:r w:rsidR="00CF461E">
        <w:t>;</w:t>
      </w:r>
      <w:r w:rsidR="001C7ADF">
        <w:t xml:space="preserve"> nos anos 1980, a preocupação centra-se</w:t>
      </w:r>
      <w:r w:rsidR="005256C0">
        <w:t>, não apenas nos dispositivos de poder-saber, mas</w:t>
      </w:r>
      <w:r w:rsidR="001C7ADF">
        <w:t xml:space="preserve"> na </w:t>
      </w:r>
      <w:proofErr w:type="spellStart"/>
      <w:r w:rsidR="001C7ADF">
        <w:t>probl</w:t>
      </w:r>
      <w:r w:rsidR="00772F98">
        <w:t>ematização</w:t>
      </w:r>
      <w:proofErr w:type="spellEnd"/>
      <w:r w:rsidR="00772F98">
        <w:t xml:space="preserve"> do sujeito: como o</w:t>
      </w:r>
      <w:r w:rsidR="00331AF6">
        <w:t>s</w:t>
      </w:r>
      <w:r w:rsidR="00772F98">
        <w:t xml:space="preserve"> indivíduo</w:t>
      </w:r>
      <w:r w:rsidR="00331AF6">
        <w:t>s</w:t>
      </w:r>
      <w:r w:rsidR="00250896">
        <w:t>, a partir de certas técnicas,</w:t>
      </w:r>
      <w:r w:rsidR="00331AF6">
        <w:t xml:space="preserve"> se constituem</w:t>
      </w:r>
      <w:r w:rsidR="00015522">
        <w:t xml:space="preserve"> enquanto sujeito</w:t>
      </w:r>
      <w:r w:rsidR="005765DC">
        <w:t>.</w:t>
      </w:r>
    </w:p>
    <w:p w:rsidR="00015522" w:rsidRDefault="00772F98" w:rsidP="00015522">
      <w:pPr>
        <w:ind w:firstLine="708"/>
        <w:jc w:val="both"/>
      </w:pPr>
      <w:r>
        <w:t>Em</w:t>
      </w:r>
      <w:r w:rsidR="005765DC">
        <w:t xml:space="preserve"> tal</w:t>
      </w:r>
      <w:r>
        <w:t xml:space="preserve"> deslocamento intelectual</w:t>
      </w:r>
      <w:r w:rsidR="005765DC">
        <w:t xml:space="preserve"> em seus estudos e análises, Foucault volta-se para o período da Antiguidade Clássica (não mais séculos XVIII e XIX que haviam dominado seu período genealógico), buscando compreender como, a partir de certas práticas morais, o indivíduo vai se constituindo enquanto sujeito moral</w:t>
      </w:r>
      <w:r>
        <w:t>-sexual</w:t>
      </w:r>
      <w:r w:rsidR="005765DC">
        <w:t>.</w:t>
      </w:r>
    </w:p>
    <w:p w:rsidR="00772F98" w:rsidRDefault="004D3000" w:rsidP="00772F98">
      <w:pPr>
        <w:jc w:val="both"/>
        <w:rPr>
          <w:b/>
          <w:u w:val="single"/>
        </w:rPr>
      </w:pPr>
      <w:r>
        <w:rPr>
          <w:b/>
          <w:u w:val="single"/>
        </w:rPr>
        <w:t>Sobre o rigor intelectual e metodológico de Foucault</w:t>
      </w:r>
    </w:p>
    <w:p w:rsidR="00971028" w:rsidRDefault="000D3F56" w:rsidP="00971028">
      <w:pPr>
        <w:jc w:val="both"/>
      </w:pPr>
      <w:r>
        <w:tab/>
        <w:t>Integrante do GESP ressalta</w:t>
      </w:r>
      <w:r w:rsidR="008073FE">
        <w:t xml:space="preserve"> o rigor intelectual e metodológico apresentado por F</w:t>
      </w:r>
      <w:r>
        <w:t>oucault. N</w:t>
      </w:r>
      <w:r w:rsidR="008073FE">
        <w:t>a</w:t>
      </w:r>
      <w:r w:rsidR="007430AD">
        <w:t xml:space="preserve"> reestruturação</w:t>
      </w:r>
      <w:r w:rsidR="008073FE">
        <w:t xml:space="preserve"> do objeto de estudos, o cuidado</w:t>
      </w:r>
      <w:r w:rsidR="00CF461E">
        <w:t xml:space="preserve"> do filósofo</w:t>
      </w:r>
      <w:r w:rsidR="008073FE">
        <w:t xml:space="preserve"> </w:t>
      </w:r>
      <w:r w:rsidR="007430AD">
        <w:t>em elucidar</w:t>
      </w:r>
      <w:r>
        <w:t xml:space="preserve">: </w:t>
      </w:r>
    </w:p>
    <w:p w:rsidR="00971028" w:rsidRDefault="00971028" w:rsidP="00971028">
      <w:pPr>
        <w:pStyle w:val="PargrafodaLista"/>
        <w:numPr>
          <w:ilvl w:val="0"/>
          <w:numId w:val="2"/>
        </w:numPr>
        <w:jc w:val="both"/>
      </w:pPr>
      <w:r>
        <w:t>A</w:t>
      </w:r>
      <w:r w:rsidR="000D3F56">
        <w:t>s causas da alteração nos trabalhos sobre a sexualidade</w:t>
      </w:r>
      <w:r>
        <w:t>:</w:t>
      </w:r>
    </w:p>
    <w:p w:rsidR="00971028" w:rsidRPr="00971028" w:rsidRDefault="00971028" w:rsidP="00971028">
      <w:pPr>
        <w:pStyle w:val="PargrafodaLista"/>
        <w:ind w:left="226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(...) </w:t>
      </w:r>
      <w:r w:rsidR="00292FF8" w:rsidRPr="00971028">
        <w:rPr>
          <w:sz w:val="20"/>
          <w:szCs w:val="20"/>
        </w:rPr>
        <w:t xml:space="preserve">existem momentos na vida onde a questão de saber se </w:t>
      </w:r>
      <w:proofErr w:type="spellStart"/>
      <w:r w:rsidR="00292FF8" w:rsidRPr="00971028">
        <w:rPr>
          <w:sz w:val="20"/>
          <w:szCs w:val="20"/>
        </w:rPr>
        <w:t>se</w:t>
      </w:r>
      <w:proofErr w:type="spellEnd"/>
      <w:r w:rsidR="00292FF8" w:rsidRPr="00971028">
        <w:rPr>
          <w:sz w:val="20"/>
          <w:szCs w:val="20"/>
        </w:rPr>
        <w:t xml:space="preserve"> pode pensar diferentemente do que se pensa, e perceber diferentemente do que se vê, é indispensável para continuar a olhar ou </w:t>
      </w:r>
      <w:r>
        <w:rPr>
          <w:sz w:val="20"/>
          <w:szCs w:val="20"/>
        </w:rPr>
        <w:t>a refletir.</w:t>
      </w:r>
      <w:r w:rsidR="00292FF8" w:rsidRPr="00971028">
        <w:rPr>
          <w:sz w:val="20"/>
          <w:szCs w:val="20"/>
        </w:rPr>
        <w:t xml:space="preserve"> (</w:t>
      </w:r>
      <w:r>
        <w:rPr>
          <w:sz w:val="20"/>
          <w:szCs w:val="20"/>
        </w:rPr>
        <w:t xml:space="preserve">FOUCAULT, 1984, </w:t>
      </w:r>
      <w:r w:rsidR="00292FF8" w:rsidRPr="00971028">
        <w:rPr>
          <w:sz w:val="20"/>
          <w:szCs w:val="20"/>
        </w:rPr>
        <w:t>p. 13)</w:t>
      </w:r>
      <w:r w:rsidR="000D3F56" w:rsidRPr="00971028">
        <w:rPr>
          <w:sz w:val="20"/>
          <w:szCs w:val="20"/>
        </w:rPr>
        <w:t>;</w:t>
      </w:r>
      <w:r w:rsidR="007430AD" w:rsidRPr="00971028">
        <w:rPr>
          <w:sz w:val="20"/>
          <w:szCs w:val="20"/>
        </w:rPr>
        <w:t xml:space="preserve"> </w:t>
      </w:r>
    </w:p>
    <w:p w:rsidR="00971028" w:rsidRDefault="00971028" w:rsidP="00971028">
      <w:pPr>
        <w:pStyle w:val="PargrafodaLista"/>
        <w:numPr>
          <w:ilvl w:val="0"/>
          <w:numId w:val="2"/>
        </w:numPr>
        <w:jc w:val="both"/>
      </w:pPr>
      <w:r>
        <w:t>O</w:t>
      </w:r>
      <w:r w:rsidR="007430AD">
        <w:t xml:space="preserve"> método de trabalho (da genealogia dos sistemas de poder-saber para a hermenêutica do sujeito, </w:t>
      </w:r>
      <w:r w:rsidR="00CF461E">
        <w:t xml:space="preserve">a </w:t>
      </w:r>
      <w:r w:rsidR="007430AD">
        <w:t xml:space="preserve">genealogia dos modos de subjetivação); </w:t>
      </w:r>
    </w:p>
    <w:p w:rsidR="00971028" w:rsidRDefault="00971028" w:rsidP="00971028">
      <w:pPr>
        <w:pStyle w:val="PargrafodaLista"/>
        <w:numPr>
          <w:ilvl w:val="0"/>
          <w:numId w:val="2"/>
        </w:numPr>
        <w:jc w:val="both"/>
      </w:pPr>
      <w:r>
        <w:t>O objeto:</w:t>
      </w:r>
    </w:p>
    <w:p w:rsidR="00971028" w:rsidRPr="00135E2F" w:rsidRDefault="00135E2F" w:rsidP="00135E2F">
      <w:pPr>
        <w:pStyle w:val="PargrafodaLista"/>
        <w:ind w:left="226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(...) </w:t>
      </w:r>
      <w:r w:rsidR="007430AD" w:rsidRPr="00971028">
        <w:rPr>
          <w:sz w:val="20"/>
          <w:szCs w:val="20"/>
        </w:rPr>
        <w:t>analisar as práticas pelas quais os indivíduos foram levados a prestar atenção a eles próprios, a se decifrar, a se reconhecer e se confessar como suj</w:t>
      </w:r>
      <w:r>
        <w:rPr>
          <w:sz w:val="20"/>
          <w:szCs w:val="20"/>
        </w:rPr>
        <w:t xml:space="preserve">eitos de desejo, estabelecendo de si para consigo </w:t>
      </w:r>
      <w:proofErr w:type="gramStart"/>
      <w:r>
        <w:rPr>
          <w:sz w:val="20"/>
          <w:szCs w:val="20"/>
        </w:rPr>
        <w:t>uma certa</w:t>
      </w:r>
      <w:proofErr w:type="gramEnd"/>
      <w:r>
        <w:rPr>
          <w:sz w:val="20"/>
          <w:szCs w:val="20"/>
        </w:rPr>
        <w:t xml:space="preserve"> relação que lhes permite descobrir, no desejo, a verdade de seu ser</w:t>
      </w:r>
      <w:r w:rsidR="00292FF8" w:rsidRPr="00135E2F">
        <w:rPr>
          <w:sz w:val="20"/>
          <w:szCs w:val="20"/>
        </w:rPr>
        <w:t xml:space="preserve"> (</w:t>
      </w:r>
      <w:r w:rsidR="00A00F3D" w:rsidRPr="00135E2F">
        <w:rPr>
          <w:sz w:val="20"/>
          <w:szCs w:val="20"/>
        </w:rPr>
        <w:t xml:space="preserve">Op. cit., </w:t>
      </w:r>
      <w:r w:rsidR="007430AD" w:rsidRPr="00135E2F">
        <w:rPr>
          <w:sz w:val="20"/>
          <w:szCs w:val="20"/>
        </w:rPr>
        <w:t>p.11);</w:t>
      </w:r>
      <w:r w:rsidR="003E3384" w:rsidRPr="00135E2F">
        <w:rPr>
          <w:sz w:val="20"/>
          <w:szCs w:val="20"/>
        </w:rPr>
        <w:t xml:space="preserve"> </w:t>
      </w:r>
    </w:p>
    <w:p w:rsidR="00971028" w:rsidRDefault="00971028" w:rsidP="00971028">
      <w:pPr>
        <w:pStyle w:val="PargrafodaLista"/>
        <w:numPr>
          <w:ilvl w:val="0"/>
          <w:numId w:val="2"/>
        </w:numPr>
        <w:jc w:val="both"/>
      </w:pPr>
      <w:r>
        <w:t>O</w:t>
      </w:r>
      <w:r w:rsidR="003E3384">
        <w:t xml:space="preserve"> campo de análise, “textos que pretendem estabelecer regras, dar opiniões, conselhos, para se compor</w:t>
      </w:r>
      <w:r w:rsidR="00A00F3D">
        <w:t>tar como convém” (Op. cit.,</w:t>
      </w:r>
      <w:r w:rsidR="003E3384">
        <w:t xml:space="preserve"> p. 16);</w:t>
      </w:r>
      <w:r w:rsidR="007430AD">
        <w:t xml:space="preserve"> </w:t>
      </w:r>
    </w:p>
    <w:p w:rsidR="00971028" w:rsidRDefault="00971028" w:rsidP="00971028">
      <w:pPr>
        <w:pStyle w:val="PargrafodaLista"/>
        <w:numPr>
          <w:ilvl w:val="0"/>
          <w:numId w:val="2"/>
        </w:numPr>
        <w:jc w:val="both"/>
      </w:pPr>
      <w:r>
        <w:t>A</w:t>
      </w:r>
      <w:r w:rsidR="000D3F56">
        <w:t>s ferramentas teórico-metodológicas (</w:t>
      </w:r>
      <w:r w:rsidR="009D0749">
        <w:t xml:space="preserve">a perspectiva dos </w:t>
      </w:r>
      <w:r w:rsidR="000D3F56">
        <w:t xml:space="preserve">modos de subjetivação, a </w:t>
      </w:r>
      <w:r>
        <w:t>“</w:t>
      </w:r>
      <w:proofErr w:type="spellStart"/>
      <w:r w:rsidR="000D3F56">
        <w:t>problematização</w:t>
      </w:r>
      <w:proofErr w:type="spellEnd"/>
      <w:r>
        <w:t>”</w:t>
      </w:r>
      <w:r w:rsidR="000D3F56">
        <w:t xml:space="preserve"> do sujeito a partir de certas práticas e saberes); </w:t>
      </w:r>
    </w:p>
    <w:p w:rsidR="00772F98" w:rsidRDefault="00971028" w:rsidP="00971028">
      <w:pPr>
        <w:pStyle w:val="PargrafodaLista"/>
        <w:numPr>
          <w:ilvl w:val="0"/>
          <w:numId w:val="2"/>
        </w:numPr>
        <w:jc w:val="both"/>
      </w:pPr>
      <w:r>
        <w:lastRenderedPageBreak/>
        <w:t>A</w:t>
      </w:r>
      <w:r w:rsidR="00754D68">
        <w:t xml:space="preserve"> definição de conceitos (</w:t>
      </w:r>
      <w:r w:rsidR="00D36025">
        <w:t>código moral, moralidade dos comportamentos</w:t>
      </w:r>
      <w:r w:rsidR="00754D68">
        <w:t>, morais orientadas para o código, morais orientadas para a ética</w:t>
      </w:r>
      <w:r w:rsidR="000D3F56">
        <w:t>).</w:t>
      </w:r>
    </w:p>
    <w:p w:rsidR="000D3F56" w:rsidRDefault="00D36025" w:rsidP="00772F98">
      <w:pPr>
        <w:jc w:val="both"/>
        <w:rPr>
          <w:b/>
          <w:u w:val="single"/>
        </w:rPr>
      </w:pPr>
      <w:r>
        <w:rPr>
          <w:b/>
          <w:u w:val="single"/>
        </w:rPr>
        <w:t>Sobre a “</w:t>
      </w:r>
      <w:proofErr w:type="spellStart"/>
      <w:r>
        <w:rPr>
          <w:b/>
          <w:u w:val="single"/>
        </w:rPr>
        <w:t>problematização</w:t>
      </w:r>
      <w:proofErr w:type="spellEnd"/>
      <w:r>
        <w:rPr>
          <w:b/>
          <w:u w:val="single"/>
        </w:rPr>
        <w:t>” do sujeito como ferramenta metodológica</w:t>
      </w:r>
    </w:p>
    <w:p w:rsidR="003E3384" w:rsidRDefault="00F23C50" w:rsidP="00772F98">
      <w:pPr>
        <w:jc w:val="both"/>
      </w:pPr>
      <w:r>
        <w:tab/>
        <w:t>Através do instrumento metodológico da “</w:t>
      </w:r>
      <w:proofErr w:type="spellStart"/>
      <w:r>
        <w:t>problematização</w:t>
      </w:r>
      <w:proofErr w:type="spellEnd"/>
      <w:r>
        <w:t>”, Foucault insere</w:t>
      </w:r>
      <w:r w:rsidR="003E3384">
        <w:t>, em seus estudos,</w:t>
      </w:r>
      <w:r w:rsidR="00A319F2">
        <w:t xml:space="preserve"> a questão dos modelos através dos</w:t>
      </w:r>
      <w:r>
        <w:t xml:space="preserve"> quais os indivíduos se constituem enquanto sujeitos sexuais. </w:t>
      </w:r>
    </w:p>
    <w:p w:rsidR="003E3384" w:rsidRDefault="00F23C50" w:rsidP="00971028">
      <w:pPr>
        <w:ind w:firstLine="708"/>
        <w:jc w:val="both"/>
      </w:pPr>
      <w:r>
        <w:t>Se nas análises genealógicas, Foucault preocupa-se com os dispositivos de poder-saber que produzem subjetivações; na “</w:t>
      </w:r>
      <w:proofErr w:type="spellStart"/>
      <w:r>
        <w:t>problematização</w:t>
      </w:r>
      <w:proofErr w:type="spellEnd"/>
      <w:r>
        <w:t xml:space="preserve"> ética”</w:t>
      </w:r>
      <w:r w:rsidR="00971028">
        <w:t xml:space="preserve"> a questão está em </w:t>
      </w:r>
      <w:r w:rsidR="003E3384">
        <w:t>e</w:t>
      </w:r>
      <w:r w:rsidR="00971028">
        <w:t>lucidar</w:t>
      </w:r>
      <w:r w:rsidR="00A319F2">
        <w:t xml:space="preserve"> como se constituem modos de subjetivação, de condutas, de sexualidades (</w:t>
      </w:r>
      <w:r w:rsidR="003E3384">
        <w:t xml:space="preserve">a partir de </w:t>
      </w:r>
      <w:r w:rsidR="00971028">
        <w:t>certas práticas e discursos, contextualizados em</w:t>
      </w:r>
      <w:r w:rsidR="003E3384">
        <w:t xml:space="preserve"> dispositivos</w:t>
      </w:r>
      <w:r w:rsidR="00A319F2">
        <w:t>)</w:t>
      </w:r>
      <w:r w:rsidR="003E3384">
        <w:t>. Pensar o sujeito não somente como objeto e produto das redes de poder-saber, sujeito constituído,</w:t>
      </w:r>
      <w:r w:rsidR="00A00F3D">
        <w:t xml:space="preserve"> mas</w:t>
      </w:r>
      <w:r w:rsidR="001749F9">
        <w:t xml:space="preserve"> analisar</w:t>
      </w:r>
      <w:r w:rsidR="00A00F3D">
        <w:t xml:space="preserve"> como </w:t>
      </w:r>
      <w:r w:rsidR="001749F9">
        <w:t>os seres humanos</w:t>
      </w:r>
      <w:r w:rsidR="00971028">
        <w:t xml:space="preserve"> fazem uso</w:t>
      </w:r>
      <w:r w:rsidR="003E3384">
        <w:t xml:space="preserve"> de </w:t>
      </w:r>
      <w:r w:rsidR="00A00F3D">
        <w:t xml:space="preserve">certas </w:t>
      </w:r>
      <w:r w:rsidR="003E3384">
        <w:t>práticas</w:t>
      </w:r>
      <w:r w:rsidR="00971028">
        <w:t xml:space="preserve"> enquanto se constituem</w:t>
      </w:r>
      <w:r w:rsidR="003E3384">
        <w:t xml:space="preserve"> sujeitos morais de sexualidade, sujeitos constituindo-se. </w:t>
      </w:r>
    </w:p>
    <w:p w:rsidR="00E26659" w:rsidRDefault="00E26659" w:rsidP="00971028">
      <w:pPr>
        <w:ind w:firstLine="708"/>
        <w:jc w:val="both"/>
      </w:pPr>
      <w:r>
        <w:t>Nesse sentido, Foucault observa que códigos de comportamento</w:t>
      </w:r>
      <w:r w:rsidR="00F44FE3">
        <w:t xml:space="preserve"> produzidos por dispositivos</w:t>
      </w:r>
      <w:r>
        <w:t xml:space="preserve"> e formas de subjetivação correlatas não se colocam de maneira dissociada, ainda que com relativa autonomia entre essas dimensões.</w:t>
      </w:r>
    </w:p>
    <w:p w:rsidR="00327700" w:rsidRDefault="00E26659" w:rsidP="003E3384">
      <w:pPr>
        <w:ind w:firstLine="708"/>
        <w:jc w:val="both"/>
      </w:pPr>
      <w:r>
        <w:t>Professor Luís Antônio alerta</w:t>
      </w:r>
      <w:r w:rsidR="00292FF8">
        <w:t xml:space="preserve"> também para o cuidado no uso do termo grego</w:t>
      </w:r>
      <w:r w:rsidR="00250AD7">
        <w:t xml:space="preserve"> </w:t>
      </w:r>
      <w:proofErr w:type="spellStart"/>
      <w:r w:rsidR="00250AD7" w:rsidRPr="00123E2E">
        <w:rPr>
          <w:i/>
        </w:rPr>
        <w:t>aphrodisia</w:t>
      </w:r>
      <w:proofErr w:type="spellEnd"/>
      <w:r w:rsidR="00A319F2">
        <w:t>: como Foucault já advertira</w:t>
      </w:r>
      <w:r w:rsidR="00250AD7">
        <w:t xml:space="preserve"> no início dessa obra, o termo “sexualidade”</w:t>
      </w:r>
      <w:r w:rsidR="00A319F2">
        <w:t xml:space="preserve"> surgiu somente no século XIX,</w:t>
      </w:r>
      <w:r w:rsidR="00327700">
        <w:t xml:space="preserve"> dessa forma,</w:t>
      </w:r>
      <w:r w:rsidR="00331AF6">
        <w:t xml:space="preserve"> não </w:t>
      </w:r>
      <w:proofErr w:type="gramStart"/>
      <w:r w:rsidR="00331AF6">
        <w:t>pode-se</w:t>
      </w:r>
      <w:proofErr w:type="gramEnd"/>
      <w:r w:rsidR="00123E2E">
        <w:t xml:space="preserve"> tratar </w:t>
      </w:r>
      <w:proofErr w:type="spellStart"/>
      <w:r w:rsidR="00123E2E" w:rsidRPr="00123E2E">
        <w:rPr>
          <w:i/>
        </w:rPr>
        <w:t>aphrodisia</w:t>
      </w:r>
      <w:proofErr w:type="spellEnd"/>
      <w:r w:rsidR="00250AD7">
        <w:t xml:space="preserve"> como simples sinônimo de prazer ou sexualidade. </w:t>
      </w:r>
    </w:p>
    <w:p w:rsidR="00292FF8" w:rsidRDefault="00123E2E" w:rsidP="003E3384">
      <w:pPr>
        <w:ind w:firstLine="708"/>
        <w:jc w:val="both"/>
      </w:pPr>
      <w:r>
        <w:t xml:space="preserve">O termo </w:t>
      </w:r>
      <w:proofErr w:type="spellStart"/>
      <w:r w:rsidRPr="00123E2E">
        <w:rPr>
          <w:i/>
        </w:rPr>
        <w:t>aphrodisia</w:t>
      </w:r>
      <w:proofErr w:type="spellEnd"/>
      <w:r w:rsidR="00327700">
        <w:t xml:space="preserve"> diz respeito a</w:t>
      </w:r>
      <w:r w:rsidR="00250AD7">
        <w:t xml:space="preserve"> uma moral sexual</w:t>
      </w:r>
      <w:r w:rsidR="00B22B98">
        <w:t>, um con</w:t>
      </w:r>
      <w:r w:rsidR="00A00F3D">
        <w:t>junto de normas e práticas</w:t>
      </w:r>
      <w:r w:rsidR="00B22B98">
        <w:t xml:space="preserve"> específico</w:t>
      </w:r>
      <w:r w:rsidR="00250AD7">
        <w:t xml:space="preserve"> de uma sociedade e período histórico, por isso Foucault preocupa-se em utiliz</w:t>
      </w:r>
      <w:r w:rsidR="00327700">
        <w:t>ar o termo em grego, para não haver</w:t>
      </w:r>
      <w:r w:rsidR="00250AD7">
        <w:t xml:space="preserve"> riscos de</w:t>
      </w:r>
      <w:r w:rsidR="00327700">
        <w:t>,</w:t>
      </w:r>
      <w:r w:rsidR="00250AD7">
        <w:t xml:space="preserve"> ao traduzir</w:t>
      </w:r>
      <w:r w:rsidR="00327700">
        <w:t>-se</w:t>
      </w:r>
      <w:r w:rsidR="00F41C98">
        <w:t xml:space="preserve"> por termos atuais, altere-se</w:t>
      </w:r>
      <w:r w:rsidR="004D1DE5">
        <w:t xml:space="preserve"> o </w:t>
      </w:r>
      <w:r w:rsidR="00250AD7">
        <w:t>sentido or</w:t>
      </w:r>
      <w:r w:rsidR="00B22B98">
        <w:t>i</w:t>
      </w:r>
      <w:r w:rsidR="00250AD7">
        <w:t>ginário do termo</w:t>
      </w:r>
      <w:r w:rsidR="00327700">
        <w:t>.</w:t>
      </w:r>
    </w:p>
    <w:p w:rsidR="00D36025" w:rsidRDefault="00F23C50" w:rsidP="00772F98">
      <w:pPr>
        <w:jc w:val="both"/>
        <w:rPr>
          <w:b/>
          <w:u w:val="single"/>
        </w:rPr>
      </w:pPr>
      <w:r>
        <w:t xml:space="preserve"> </w:t>
      </w:r>
      <w:r w:rsidR="00B22B98">
        <w:rPr>
          <w:b/>
          <w:u w:val="single"/>
        </w:rPr>
        <w:t xml:space="preserve">Sobre uma </w:t>
      </w:r>
      <w:r w:rsidR="004D3000">
        <w:rPr>
          <w:b/>
          <w:u w:val="single"/>
        </w:rPr>
        <w:t>“</w:t>
      </w:r>
      <w:proofErr w:type="spellStart"/>
      <w:r w:rsidR="00B22B98">
        <w:rPr>
          <w:b/>
          <w:u w:val="single"/>
        </w:rPr>
        <w:t>quadritemática</w:t>
      </w:r>
      <w:proofErr w:type="spellEnd"/>
      <w:r w:rsidR="004D3000">
        <w:rPr>
          <w:b/>
          <w:u w:val="single"/>
        </w:rPr>
        <w:t>”</w:t>
      </w:r>
      <w:r w:rsidR="00B22B98">
        <w:rPr>
          <w:b/>
          <w:u w:val="single"/>
        </w:rPr>
        <w:t xml:space="preserve"> constante</w:t>
      </w:r>
    </w:p>
    <w:p w:rsidR="004D3000" w:rsidRDefault="004D3000" w:rsidP="00772F98">
      <w:pPr>
        <w:jc w:val="both"/>
      </w:pPr>
      <w:r>
        <w:tab/>
        <w:t xml:space="preserve">Na análise dos textos </w:t>
      </w:r>
      <w:r w:rsidR="00A26EBB">
        <w:t>indicativos</w:t>
      </w:r>
      <w:r>
        <w:t xml:space="preserve"> de condutas</w:t>
      </w:r>
      <w:r w:rsidR="00123E2E">
        <w:t xml:space="preserve"> sexuais</w:t>
      </w:r>
      <w:r>
        <w:t xml:space="preserve"> de filósofos e médicos da A</w:t>
      </w:r>
      <w:r w:rsidR="0052384D">
        <w:t>ntiguidade Clássica, Foucault constata</w:t>
      </w:r>
      <w:r w:rsidR="00123E2E">
        <w:t xml:space="preserve"> que quatro temas</w:t>
      </w:r>
      <w:r w:rsidR="00885B26">
        <w:t xml:space="preserve">, </w:t>
      </w:r>
      <w:r w:rsidR="00C54258">
        <w:t>relacionado</w:t>
      </w:r>
      <w:r w:rsidR="00885B26">
        <w:t>s ao “uso dos prazeres” (</w:t>
      </w:r>
      <w:proofErr w:type="spellStart"/>
      <w:r w:rsidR="00885B26">
        <w:rPr>
          <w:i/>
        </w:rPr>
        <w:t>chrèsis</w:t>
      </w:r>
      <w:proofErr w:type="spellEnd"/>
      <w:r w:rsidR="00885B26">
        <w:rPr>
          <w:i/>
        </w:rPr>
        <w:t xml:space="preserve"> </w:t>
      </w:r>
      <w:proofErr w:type="spellStart"/>
      <w:r w:rsidR="00885B26">
        <w:rPr>
          <w:i/>
        </w:rPr>
        <w:t>aphrodisiòn</w:t>
      </w:r>
      <w:proofErr w:type="spellEnd"/>
      <w:r w:rsidR="00885B26">
        <w:rPr>
          <w:i/>
        </w:rPr>
        <w:t>)</w:t>
      </w:r>
      <w:r w:rsidR="00885B26">
        <w:t>,</w:t>
      </w:r>
      <w:r w:rsidR="00123E2E">
        <w:t xml:space="preserve"> percorrem tais documentos</w:t>
      </w:r>
      <w:r w:rsidR="0052384D">
        <w:t>: a) referente</w:t>
      </w:r>
      <w:r w:rsidR="00123E2E">
        <w:t xml:space="preserve"> ao valor do próprio ato sexual (masturbação); b) na delimitação do parceiro legítimo; c) sobre as relações entre indivíduos do mesmo sexo; d) sobre o valor moral e espiritual</w:t>
      </w:r>
      <w:r w:rsidR="00AA5689">
        <w:t xml:space="preserve"> concernente à abstinência sexual.</w:t>
      </w:r>
    </w:p>
    <w:p w:rsidR="00AA5689" w:rsidRDefault="0052384D" w:rsidP="00772F98">
      <w:pPr>
        <w:jc w:val="both"/>
      </w:pPr>
      <w:r>
        <w:tab/>
      </w:r>
      <w:r w:rsidR="003C7C52">
        <w:t>“</w:t>
      </w:r>
      <w:proofErr w:type="spellStart"/>
      <w:r>
        <w:t>Quadritemática</w:t>
      </w:r>
      <w:proofErr w:type="spellEnd"/>
      <w:r w:rsidR="003C7C52">
        <w:t>”</w:t>
      </w:r>
      <w:r>
        <w:t xml:space="preserve"> constante também nas primeiras doutrinas cristãs, embora Foucault observe que tais temas foram reformulados incessantemente, ocupan</w:t>
      </w:r>
      <w:r w:rsidR="00C54258">
        <w:t>do diferentes lugares e valores nos</w:t>
      </w:r>
      <w:r w:rsidR="003C7C52">
        <w:t xml:space="preserve"> distintos</w:t>
      </w:r>
      <w:r w:rsidR="00C54258">
        <w:t xml:space="preserve"> códigos morais de conduta sexual.</w:t>
      </w:r>
    </w:p>
    <w:p w:rsidR="003C7C52" w:rsidRDefault="00C54258" w:rsidP="003C7C52">
      <w:pPr>
        <w:ind w:firstLine="708"/>
        <w:jc w:val="both"/>
      </w:pPr>
      <w:r>
        <w:t xml:space="preserve">Desses temas, seus discursos e práticas presumidas, Foucault problematiza sobre modos de subjetivação inerentes a essas proposições de “prazeres”: por que </w:t>
      </w:r>
      <w:r w:rsidR="00B45209">
        <w:t>e como tais áreas de atividade sexual</w:t>
      </w:r>
      <w:r>
        <w:t xml:space="preserve"> foram </w:t>
      </w:r>
      <w:r w:rsidR="00B45209">
        <w:t>questionadas</w:t>
      </w:r>
      <w:r w:rsidR="00331AF6">
        <w:t xml:space="preserve">, </w:t>
      </w:r>
      <w:r>
        <w:t xml:space="preserve">não </w:t>
      </w:r>
      <w:r w:rsidR="003C7C52">
        <w:t xml:space="preserve">a partir de regras gerais de interdição e proibição, </w:t>
      </w:r>
      <w:r w:rsidR="00B45209">
        <w:t xml:space="preserve">mas </w:t>
      </w:r>
      <w:r w:rsidR="003C7C52">
        <w:t>como “elaboração e estilização de uma atividade no exercício de seu poder e na prática de sua liberdade” (FOUCAULT, 1984, p. 25), como técnicas de si?</w:t>
      </w:r>
    </w:p>
    <w:p w:rsidR="003C7C52" w:rsidRDefault="00B45209" w:rsidP="003C7C52">
      <w:pPr>
        <w:ind w:firstLine="708"/>
        <w:jc w:val="both"/>
      </w:pPr>
      <w:r>
        <w:lastRenderedPageBreak/>
        <w:t xml:space="preserve">Compreendendo estas técnicas de si como </w:t>
      </w:r>
      <w:r w:rsidR="003C7C52">
        <w:t>práticas voluntárias de indivíduos</w:t>
      </w:r>
      <w:r w:rsidR="00331AF6">
        <w:t xml:space="preserve"> masculinos livres</w:t>
      </w:r>
      <w:r w:rsidR="003C7C52">
        <w:t xml:space="preserve"> que procuravam se transformar modificando o próprio comportamento em função de valores estéticos de existência.</w:t>
      </w:r>
    </w:p>
    <w:p w:rsidR="00331AF6" w:rsidRDefault="00331AF6" w:rsidP="003C7C52">
      <w:pPr>
        <w:ind w:firstLine="708"/>
        <w:jc w:val="both"/>
      </w:pPr>
      <w:r>
        <w:t xml:space="preserve">Professor Luís Antonio atenta que, se </w:t>
      </w:r>
      <w:r w:rsidR="00B45209">
        <w:t xml:space="preserve">na Antiguidade </w:t>
      </w:r>
      <w:r>
        <w:t>esses temas não foram problematizados em termos de interdiçã</w:t>
      </w:r>
      <w:r w:rsidR="00B45209">
        <w:t xml:space="preserve">o, não </w:t>
      </w:r>
      <w:proofErr w:type="gramStart"/>
      <w:r w:rsidR="00B45209">
        <w:t>deve-se</w:t>
      </w:r>
      <w:proofErr w:type="gramEnd"/>
      <w:r w:rsidR="00B45209">
        <w:t xml:space="preserve"> vincular tais proposições sobre abstenção</w:t>
      </w:r>
      <w:r w:rsidR="00FF49D7">
        <w:t xml:space="preserve"> sexual</w:t>
      </w:r>
      <w:r w:rsidR="00B45209">
        <w:t xml:space="preserve">, relações com outros homens ou atos de masturbação como se </w:t>
      </w:r>
      <w:proofErr w:type="spellStart"/>
      <w:r w:rsidR="00B45209">
        <w:rPr>
          <w:i/>
        </w:rPr>
        <w:t>aphrodisia</w:t>
      </w:r>
      <w:proofErr w:type="spellEnd"/>
      <w:r w:rsidR="00B45209">
        <w:t xml:space="preserve"> fosse um ele</w:t>
      </w:r>
      <w:r w:rsidR="00B76189">
        <w:t>mento a ser negado</w:t>
      </w:r>
      <w:r w:rsidR="00EE112F">
        <w:t xml:space="preserve"> e renunciado</w:t>
      </w:r>
      <w:r w:rsidR="00B76189">
        <w:t xml:space="preserve"> nas moralidades greco-romanas.</w:t>
      </w:r>
    </w:p>
    <w:p w:rsidR="00B76189" w:rsidRDefault="0037106C" w:rsidP="0037106C">
      <w:pPr>
        <w:jc w:val="both"/>
        <w:rPr>
          <w:b/>
          <w:u w:val="single"/>
        </w:rPr>
      </w:pPr>
      <w:r>
        <w:rPr>
          <w:b/>
          <w:u w:val="single"/>
        </w:rPr>
        <w:t>Sobre as distinções entre as moralidades da Antiguidade Clássica e moralidade Cristã</w:t>
      </w:r>
    </w:p>
    <w:p w:rsidR="00FF49D7" w:rsidRDefault="00FF49D7" w:rsidP="0037106C">
      <w:pPr>
        <w:jc w:val="both"/>
      </w:pPr>
      <w:r>
        <w:tab/>
        <w:t xml:space="preserve">No mundo greco-romano antigo, a </w:t>
      </w:r>
      <w:proofErr w:type="spellStart"/>
      <w:r>
        <w:t>problematização</w:t>
      </w:r>
      <w:proofErr w:type="spellEnd"/>
      <w:r w:rsidR="00054129">
        <w:t xml:space="preserve"> da sexualidade fora distinta da</w:t>
      </w:r>
      <w:r>
        <w:t xml:space="preserve"> </w:t>
      </w:r>
      <w:r w:rsidR="00054129">
        <w:t xml:space="preserve">do </w:t>
      </w:r>
      <w:r>
        <w:t xml:space="preserve">mundo cristão. Embora a continuidade de quatro temas comuns em </w:t>
      </w:r>
      <w:r w:rsidR="00806B5B">
        <w:t>ambas as</w:t>
      </w:r>
      <w:r>
        <w:t xml:space="preserve"> moralidades, como já mencionado, Foucault enumera distinções importantes: enquanto a moral cristã (Pastoral Cristã da Carne) se caracterizou por códigos de imposições,</w:t>
      </w:r>
      <w:r w:rsidR="00EF51A4">
        <w:t xml:space="preserve"> de</w:t>
      </w:r>
      <w:r>
        <w:t xml:space="preserve"> proibições e</w:t>
      </w:r>
      <w:r w:rsidR="00EF51A4">
        <w:t xml:space="preserve"> de</w:t>
      </w:r>
      <w:r>
        <w:t xml:space="preserve"> preceitos de ambição universal, as diferentes morais da Antiguidade Clássica</w:t>
      </w:r>
      <w:r w:rsidR="00806B5B">
        <w:t xml:space="preserve"> tiveram como peculiaridade o fato de não se apres</w:t>
      </w:r>
      <w:r w:rsidR="00E26659">
        <w:t>entarem como uma moral unitária</w:t>
      </w:r>
      <w:r w:rsidR="00806B5B">
        <w:t xml:space="preserve"> imposta a todos, mas como um suplemento de proposições de condutas sexuais, em diversos movimentos e grupos filosóficos e espirituais.</w:t>
      </w:r>
    </w:p>
    <w:p w:rsidR="00806B5B" w:rsidRDefault="00806B5B" w:rsidP="0037106C">
      <w:pPr>
        <w:jc w:val="both"/>
      </w:pPr>
      <w:r>
        <w:tab/>
        <w:t>Suplemento de orientações de condutas, nas moralidades antigas, pois tais discur</w:t>
      </w:r>
      <w:r w:rsidR="00EC63BF">
        <w:t>sos versavam sobre condutas nas quais</w:t>
      </w:r>
      <w:r>
        <w:t xml:space="preserve"> os homens teriam liberdade, direito e poder de agir sobre práticas de prazeres não proibidas por códigos.</w:t>
      </w:r>
      <w:r w:rsidR="00E26659">
        <w:t xml:space="preserve"> </w:t>
      </w:r>
    </w:p>
    <w:p w:rsidR="00E26659" w:rsidRDefault="00E26659" w:rsidP="00E26659">
      <w:pPr>
        <w:jc w:val="both"/>
      </w:pPr>
      <w:r>
        <w:tab/>
        <w:t xml:space="preserve">Por conseguinte, Foucault destaca que a </w:t>
      </w:r>
      <w:proofErr w:type="spellStart"/>
      <w:r>
        <w:t>problematização</w:t>
      </w:r>
      <w:proofErr w:type="spellEnd"/>
      <w:r>
        <w:t xml:space="preserve"> da sexualidade na Antiguidade, a partir dessa pluralidade moral</w:t>
      </w:r>
      <w:r w:rsidR="008956FF">
        <w:t xml:space="preserve"> de distintos grupos filosóficos</w:t>
      </w:r>
      <w:r>
        <w:t>, fora colocada enquanto técnicas de cuidado de si, utilização da sexualidade como um exercício</w:t>
      </w:r>
      <w:r w:rsidR="0037264C">
        <w:t xml:space="preserve"> estético</w:t>
      </w:r>
      <w:r>
        <w:t xml:space="preserve"> na autoconstituição de si. </w:t>
      </w:r>
    </w:p>
    <w:p w:rsidR="00F624FF" w:rsidRDefault="00F624FF" w:rsidP="0037106C">
      <w:pPr>
        <w:jc w:val="both"/>
      </w:pPr>
      <w:r>
        <w:tab/>
        <w:t>Neste sentido, a distinção apresentada pelo filósofo entre morais orientadas para o código (onde os elementos de destaque estão nos códigos totalizantes, nas instâncias das autoridades que fazem valer os códigos, através das admoestações, advertências, punições</w:t>
      </w:r>
      <w:r w:rsidR="00054129">
        <w:t xml:space="preserve"> – Pastoral Cristã da Carne</w:t>
      </w:r>
      <w:r>
        <w:t>)</w:t>
      </w:r>
      <w:r w:rsidR="00054129">
        <w:t xml:space="preserve"> e as morais orientadas para ética (com a ênfase sobre as práticas de si,</w:t>
      </w:r>
      <w:r w:rsidR="00FF7358">
        <w:t xml:space="preserve"> sobre</w:t>
      </w:r>
      <w:r w:rsidR="00054129">
        <w:t xml:space="preserve"> as formas de subjetivação a partir das moralidades – moralidades greco-romanas).</w:t>
      </w:r>
    </w:p>
    <w:p w:rsidR="00EE112F" w:rsidRDefault="00147DF1" w:rsidP="00772F98">
      <w:pPr>
        <w:jc w:val="both"/>
      </w:pPr>
      <w:r>
        <w:tab/>
        <w:t xml:space="preserve">Professor Luís coloca como exemplo a questão da austeridade sexual e temperança: na Antiguidade, a </w:t>
      </w:r>
      <w:proofErr w:type="spellStart"/>
      <w:r>
        <w:t>problema</w:t>
      </w:r>
      <w:r w:rsidR="00241D66">
        <w:t>tização</w:t>
      </w:r>
      <w:proofErr w:type="spellEnd"/>
      <w:r w:rsidR="00241D66">
        <w:t xml:space="preserve"> desse ponto em termos</w:t>
      </w:r>
      <w:r>
        <w:t xml:space="preserve"> de técnica de si, exercício </w:t>
      </w:r>
      <w:proofErr w:type="spellStart"/>
      <w:r>
        <w:t>autocontrolado</w:t>
      </w:r>
      <w:proofErr w:type="spellEnd"/>
      <w:r>
        <w:t xml:space="preserve"> do </w:t>
      </w:r>
      <w:proofErr w:type="spellStart"/>
      <w:r>
        <w:rPr>
          <w:i/>
        </w:rPr>
        <w:t>chrèsis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aphrodisiòn</w:t>
      </w:r>
      <w:proofErr w:type="spellEnd"/>
      <w:r>
        <w:t xml:space="preserve"> pelo indivíduo, o cálculo e controle individual dos atos nos modos de subjetivação; na Cristandade, a prática monástica da renúncia e proibição dos atos sexuais, a sujeição do indivíduo ao código moral. </w:t>
      </w:r>
    </w:p>
    <w:p w:rsidR="001E77CB" w:rsidRDefault="00B54AC7" w:rsidP="00772F98">
      <w:pPr>
        <w:jc w:val="both"/>
        <w:rPr>
          <w:rStyle w:val="apple-converted-space"/>
        </w:rPr>
      </w:pPr>
      <w:r>
        <w:rPr>
          <w:rStyle w:val="apple-converted-space"/>
          <w:b/>
          <w:u w:val="single"/>
        </w:rPr>
        <w:t>Considerações Finais</w:t>
      </w:r>
    </w:p>
    <w:p w:rsidR="008760C8" w:rsidRDefault="00B54AC7" w:rsidP="00772F98">
      <w:pPr>
        <w:jc w:val="both"/>
        <w:rPr>
          <w:rStyle w:val="apple-converted-space"/>
        </w:rPr>
      </w:pPr>
      <w:r>
        <w:rPr>
          <w:rStyle w:val="apple-converted-space"/>
        </w:rPr>
        <w:tab/>
        <w:t>A partir de questionamento de integrante do GESP sobre uma possível metodologia em Foucault que abrangesse as relações entre “indivíduo” (a “parte”) e “sociedade” (o “todo”),</w:t>
      </w:r>
      <w:r w:rsidR="009A4AFF">
        <w:rPr>
          <w:rStyle w:val="apple-converted-space"/>
        </w:rPr>
        <w:t xml:space="preserve"> segundo </w:t>
      </w:r>
      <w:proofErr w:type="gramStart"/>
      <w:r w:rsidR="009A4AFF">
        <w:rPr>
          <w:rStyle w:val="apple-converted-space"/>
        </w:rPr>
        <w:t>as ferramentas conceituais</w:t>
      </w:r>
      <w:r>
        <w:rPr>
          <w:rStyle w:val="apple-converted-space"/>
        </w:rPr>
        <w:t xml:space="preserve"> de “modos de subjetivação” e “dispositivos”</w:t>
      </w:r>
      <w:proofErr w:type="gramEnd"/>
      <w:r w:rsidR="00B53207">
        <w:rPr>
          <w:rStyle w:val="apple-converted-space"/>
        </w:rPr>
        <w:t>, p</w:t>
      </w:r>
      <w:r>
        <w:rPr>
          <w:rStyle w:val="apple-converted-space"/>
        </w:rPr>
        <w:t xml:space="preserve">rofessor Luís Antônio adverte que, em Foucault, não há uma procedência </w:t>
      </w:r>
      <w:r>
        <w:rPr>
          <w:rStyle w:val="apple-converted-space"/>
          <w:i/>
        </w:rPr>
        <w:t>a priori</w:t>
      </w:r>
      <w:r>
        <w:rPr>
          <w:rStyle w:val="apple-converted-space"/>
        </w:rPr>
        <w:t xml:space="preserve"> da sociedade </w:t>
      </w:r>
      <w:r w:rsidR="008760C8">
        <w:rPr>
          <w:rStyle w:val="apple-converted-space"/>
        </w:rPr>
        <w:t xml:space="preserve">sobre o indivíduo ou vice-versa, como não existe também as noções </w:t>
      </w:r>
      <w:proofErr w:type="spellStart"/>
      <w:r w:rsidR="008760C8">
        <w:rPr>
          <w:rStyle w:val="apple-converted-space"/>
        </w:rPr>
        <w:t>apriorísticas</w:t>
      </w:r>
      <w:proofErr w:type="spellEnd"/>
      <w:r w:rsidR="008760C8">
        <w:rPr>
          <w:rStyle w:val="apple-converted-space"/>
        </w:rPr>
        <w:t xml:space="preserve"> de “indivíduo” e </w:t>
      </w:r>
      <w:r w:rsidR="008760C8">
        <w:rPr>
          <w:rStyle w:val="apple-converted-space"/>
        </w:rPr>
        <w:lastRenderedPageBreak/>
        <w:t>“sociedade”. Para Foucault, tais noções são construções de contextos histórico-sociais, de relações de poder espec</w:t>
      </w:r>
      <w:r w:rsidR="009A4AFF">
        <w:rPr>
          <w:rStyle w:val="apple-converted-space"/>
        </w:rPr>
        <w:t>ífica</w:t>
      </w:r>
      <w:r w:rsidR="00BF50CF">
        <w:rPr>
          <w:rStyle w:val="apple-converted-space"/>
        </w:rPr>
        <w:t xml:space="preserve">s, não conceitos </w:t>
      </w:r>
      <w:r w:rsidR="009A4AFF">
        <w:rPr>
          <w:rStyle w:val="apple-converted-space"/>
        </w:rPr>
        <w:t>atemporais, passíveis de</w:t>
      </w:r>
      <w:r w:rsidR="00BF50CF">
        <w:rPr>
          <w:rStyle w:val="apple-converted-space"/>
        </w:rPr>
        <w:t xml:space="preserve"> aplicação em qualquer </w:t>
      </w:r>
      <w:r w:rsidR="009A4AFF">
        <w:rPr>
          <w:rStyle w:val="apple-converted-space"/>
        </w:rPr>
        <w:t>cenário social</w:t>
      </w:r>
      <w:r w:rsidR="00BF50CF">
        <w:rPr>
          <w:rStyle w:val="apple-converted-space"/>
        </w:rPr>
        <w:t>.</w:t>
      </w:r>
    </w:p>
    <w:p w:rsidR="00B54AC7" w:rsidRPr="00B54AC7" w:rsidRDefault="00B53207" w:rsidP="00772F98">
      <w:pPr>
        <w:jc w:val="both"/>
        <w:rPr>
          <w:rStyle w:val="apple-converted-space"/>
        </w:rPr>
      </w:pPr>
      <w:r>
        <w:rPr>
          <w:rStyle w:val="apple-converted-space"/>
        </w:rPr>
        <w:tab/>
        <w:t xml:space="preserve">Por fim, a partir da hipótese de Foucault – de “haver todo um campo de historicidade complexa e rica na maneira pela qual o indivíduo é chamado a se reconhecer como sujeito moral da conduta sexual” (FOUCAULT, 1984, p. 31), professor Luís </w:t>
      </w:r>
      <w:r w:rsidR="00D5074C">
        <w:rPr>
          <w:rStyle w:val="apple-converted-space"/>
        </w:rPr>
        <w:t xml:space="preserve">assinala, na obra tratada nesse encontro, </w:t>
      </w:r>
      <w:r>
        <w:rPr>
          <w:rStyle w:val="apple-converted-space"/>
        </w:rPr>
        <w:t>outras possibilidades de vida social</w:t>
      </w:r>
      <w:r w:rsidR="00B265CB">
        <w:rPr>
          <w:rStyle w:val="apple-converted-space"/>
        </w:rPr>
        <w:t xml:space="preserve"> (segundo as práticas de si das moralidades da Antiguidade Clássica)</w:t>
      </w:r>
      <w:r>
        <w:rPr>
          <w:rStyle w:val="apple-converted-space"/>
        </w:rPr>
        <w:t>, distintas das elaboradas em torno de códigos morais, proibições e interdições de nossa</w:t>
      </w:r>
      <w:r w:rsidR="00D5074C">
        <w:rPr>
          <w:rStyle w:val="apple-converted-space"/>
        </w:rPr>
        <w:t xml:space="preserve"> – ainda – “</w:t>
      </w:r>
      <w:r>
        <w:rPr>
          <w:rStyle w:val="apple-converted-space"/>
        </w:rPr>
        <w:t>sociedade vitoriana</w:t>
      </w:r>
      <w:r w:rsidR="00D5074C">
        <w:rPr>
          <w:rStyle w:val="apple-converted-space"/>
        </w:rPr>
        <w:t>”</w:t>
      </w:r>
      <w:r>
        <w:rPr>
          <w:rStyle w:val="apple-converted-space"/>
        </w:rPr>
        <w:t>.</w:t>
      </w:r>
    </w:p>
    <w:p w:rsidR="00323D60" w:rsidRDefault="00323D60" w:rsidP="00323D60">
      <w:pPr>
        <w:jc w:val="both"/>
        <w:rPr>
          <w:b/>
        </w:rPr>
      </w:pPr>
      <w:r>
        <w:tab/>
      </w:r>
      <w:r>
        <w:rPr>
          <w:b/>
        </w:rPr>
        <w:t>Referência Bibliográfica</w:t>
      </w:r>
    </w:p>
    <w:p w:rsidR="00323D60" w:rsidRPr="007F6FC2" w:rsidRDefault="00323D60" w:rsidP="00323D60">
      <w:pPr>
        <w:jc w:val="both"/>
        <w:rPr>
          <w:b/>
        </w:rPr>
      </w:pPr>
      <w:r>
        <w:rPr>
          <w:b/>
        </w:rPr>
        <w:tab/>
      </w:r>
      <w:r>
        <w:t xml:space="preserve">FOUCAULT, Michel. </w:t>
      </w:r>
      <w:r>
        <w:rPr>
          <w:i/>
        </w:rPr>
        <w:t xml:space="preserve">História da sexualidade </w:t>
      </w:r>
      <w:proofErr w:type="gramStart"/>
      <w:r w:rsidR="00241D66">
        <w:rPr>
          <w:i/>
        </w:rPr>
        <w:t>2</w:t>
      </w:r>
      <w:proofErr w:type="gramEnd"/>
      <w:r w:rsidR="00241D66">
        <w:t>: o uso dos prazeres</w:t>
      </w:r>
      <w:r>
        <w:t>. Ri</w:t>
      </w:r>
      <w:r w:rsidR="00241D66">
        <w:t>o de Janeiro: Edição Graal, 1984</w:t>
      </w:r>
      <w:r>
        <w:t>.</w:t>
      </w:r>
    </w:p>
    <w:p w:rsidR="00AF6D32" w:rsidRDefault="00AF6D32"/>
    <w:sectPr w:rsidR="00AF6D32" w:rsidSect="00DB6B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806143"/>
    <w:multiLevelType w:val="hybridMultilevel"/>
    <w:tmpl w:val="192889EC"/>
    <w:lvl w:ilvl="0" w:tplc="707CE508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7758484E"/>
    <w:multiLevelType w:val="hybridMultilevel"/>
    <w:tmpl w:val="E8247168"/>
    <w:lvl w:ilvl="0" w:tplc="42926BB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compat/>
  <w:rsids>
    <w:rsidRoot w:val="00323D60"/>
    <w:rsid w:val="00015522"/>
    <w:rsid w:val="00054129"/>
    <w:rsid w:val="00061AB1"/>
    <w:rsid w:val="00077C4F"/>
    <w:rsid w:val="000D3F56"/>
    <w:rsid w:val="0012321D"/>
    <w:rsid w:val="00123E2E"/>
    <w:rsid w:val="00135E2F"/>
    <w:rsid w:val="00147DF1"/>
    <w:rsid w:val="00161454"/>
    <w:rsid w:val="001749F9"/>
    <w:rsid w:val="00176EA5"/>
    <w:rsid w:val="001B1DD8"/>
    <w:rsid w:val="001C7ADF"/>
    <w:rsid w:val="001E77CB"/>
    <w:rsid w:val="00226689"/>
    <w:rsid w:val="00241D66"/>
    <w:rsid w:val="00243F39"/>
    <w:rsid w:val="00250896"/>
    <w:rsid w:val="00250AD7"/>
    <w:rsid w:val="00292FF8"/>
    <w:rsid w:val="00323D60"/>
    <w:rsid w:val="00327700"/>
    <w:rsid w:val="00331AF6"/>
    <w:rsid w:val="0037106C"/>
    <w:rsid w:val="0037264C"/>
    <w:rsid w:val="0037651F"/>
    <w:rsid w:val="003C7C52"/>
    <w:rsid w:val="003E08A9"/>
    <w:rsid w:val="003E3384"/>
    <w:rsid w:val="004D1DE5"/>
    <w:rsid w:val="004D3000"/>
    <w:rsid w:val="0052384D"/>
    <w:rsid w:val="005256C0"/>
    <w:rsid w:val="005765DC"/>
    <w:rsid w:val="00582892"/>
    <w:rsid w:val="00605B13"/>
    <w:rsid w:val="00673587"/>
    <w:rsid w:val="006A1657"/>
    <w:rsid w:val="007430AD"/>
    <w:rsid w:val="00754D68"/>
    <w:rsid w:val="00772F98"/>
    <w:rsid w:val="00806B5B"/>
    <w:rsid w:val="008073FE"/>
    <w:rsid w:val="00854A04"/>
    <w:rsid w:val="008760C8"/>
    <w:rsid w:val="00885B26"/>
    <w:rsid w:val="008940E3"/>
    <w:rsid w:val="008956FF"/>
    <w:rsid w:val="00971028"/>
    <w:rsid w:val="009A4AFF"/>
    <w:rsid w:val="009D0749"/>
    <w:rsid w:val="009F2216"/>
    <w:rsid w:val="00A00F3D"/>
    <w:rsid w:val="00A26EBB"/>
    <w:rsid w:val="00A319F2"/>
    <w:rsid w:val="00AA5689"/>
    <w:rsid w:val="00AD419C"/>
    <w:rsid w:val="00AF6D32"/>
    <w:rsid w:val="00B22B98"/>
    <w:rsid w:val="00B265CB"/>
    <w:rsid w:val="00B45209"/>
    <w:rsid w:val="00B53207"/>
    <w:rsid w:val="00B54AC7"/>
    <w:rsid w:val="00B76189"/>
    <w:rsid w:val="00BA4A74"/>
    <w:rsid w:val="00BF100C"/>
    <w:rsid w:val="00BF50CF"/>
    <w:rsid w:val="00C042EA"/>
    <w:rsid w:val="00C54258"/>
    <w:rsid w:val="00CB4542"/>
    <w:rsid w:val="00CF461E"/>
    <w:rsid w:val="00D36025"/>
    <w:rsid w:val="00D42D7D"/>
    <w:rsid w:val="00D5074C"/>
    <w:rsid w:val="00D862AE"/>
    <w:rsid w:val="00D93299"/>
    <w:rsid w:val="00DA2EBF"/>
    <w:rsid w:val="00DC2AF2"/>
    <w:rsid w:val="00E26659"/>
    <w:rsid w:val="00EC63BF"/>
    <w:rsid w:val="00EE112F"/>
    <w:rsid w:val="00EF51A4"/>
    <w:rsid w:val="00EF641C"/>
    <w:rsid w:val="00F23C50"/>
    <w:rsid w:val="00F41C98"/>
    <w:rsid w:val="00F44FE3"/>
    <w:rsid w:val="00F624FF"/>
    <w:rsid w:val="00FA6250"/>
    <w:rsid w:val="00FF49D7"/>
    <w:rsid w:val="00FF4B3D"/>
    <w:rsid w:val="00FF7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D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323D60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4D1DE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1502</Words>
  <Characters>8117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</dc:creator>
  <cp:lastModifiedBy>Fernanda</cp:lastModifiedBy>
  <cp:revision>2</cp:revision>
  <dcterms:created xsi:type="dcterms:W3CDTF">2015-07-03T19:40:00Z</dcterms:created>
  <dcterms:modified xsi:type="dcterms:W3CDTF">2015-07-03T19:40:00Z</dcterms:modified>
</cp:coreProperties>
</file>